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 </w:t>
      </w:r>
      <w:proofErr w:type="gramStart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Перечень  тем</w:t>
      </w:r>
      <w:proofErr w:type="gramEnd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 xml:space="preserve"> для подготовки к  экзамену: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по дисциплине «Электротехника и электронная техника»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1.Электрическое поле.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2.Постоянный электрический ток.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3.Законы Ома.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Задача на расчет электрической цепи постоянного тока (определить сопротивление цепи при различных видах включения сопротивлений).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4.Электрические цепи постоянного тока.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5.Работа и мощность постоянного электрического тока.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6.Законы Кирхгофа.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7.Переменный электрический ток.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8.Цепь переменного тока с активным, индуктивным и емкостным сопротивлением.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 xml:space="preserve">Задача по определению </w:t>
      </w:r>
      <w:proofErr w:type="spellStart"/>
      <w:proofErr w:type="gramStart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индуктивного,емкостного</w:t>
      </w:r>
      <w:proofErr w:type="spellEnd"/>
      <w:proofErr w:type="gramEnd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 xml:space="preserve"> и активного сопротивления.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9.Трехфазные электрические цепи.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10.Соединение обмотки генератора и потребителя в «звезду» и «треугольник».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Задача по определению мощности переменного тока.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11.Магнитное поле.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12.Явление электромагнитной индукции. Закон электромагнитной индукции.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13.Виды и методы измерений.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14.Машины переменного тока.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15.Асинхронные двигатели.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16.Генератор постоянного тока.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17.Коммутирующие аппараты.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 xml:space="preserve">Задача по выбору максимальной нагрузки на автоматический </w:t>
      </w:r>
      <w:proofErr w:type="spellStart"/>
      <w:proofErr w:type="gramStart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выключатель,предохранитель</w:t>
      </w:r>
      <w:proofErr w:type="spellEnd"/>
      <w:proofErr w:type="gramEnd"/>
      <w:r>
        <w:rPr>
          <w:rStyle w:val="d965983d2b98b0benormaltextrun"/>
          <w:rFonts w:ascii="Segoe UI" w:hAnsi="Segoe UI" w:cs="Segoe UI"/>
          <w:b/>
          <w:bCs/>
          <w:sz w:val="28"/>
          <w:szCs w:val="28"/>
        </w:rPr>
        <w:t>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18.Электрические станции.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19.Распределение электрической энергии.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20.Как устроены полупроводниковые приборы (</w:t>
      </w:r>
      <w:proofErr w:type="spellStart"/>
      <w:proofErr w:type="gramStart"/>
      <w:r>
        <w:rPr>
          <w:rStyle w:val="d965983d2b98b0benormaltextrun"/>
          <w:rFonts w:ascii="Segoe UI" w:hAnsi="Segoe UI" w:cs="Segoe UI"/>
          <w:sz w:val="28"/>
          <w:szCs w:val="28"/>
        </w:rPr>
        <w:t>диод,транзистор</w:t>
      </w:r>
      <w:proofErr w:type="spellEnd"/>
      <w:proofErr w:type="gramEnd"/>
      <w:r>
        <w:rPr>
          <w:rStyle w:val="d965983d2b98b0benormaltextrun"/>
          <w:rFonts w:ascii="Segoe UI" w:hAnsi="Segoe UI" w:cs="Segoe UI"/>
          <w:sz w:val="28"/>
          <w:szCs w:val="28"/>
        </w:rPr>
        <w:t>).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>21.Принцип работы стабилизатора постоянного тока на полупроводнике.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0F0880" w:rsidRDefault="000F0880" w:rsidP="000F0880">
      <w:pPr>
        <w:pStyle w:val="9314e29442bfd2e8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d965983d2b98b0benormaltextrun"/>
          <w:rFonts w:ascii="Segoe UI" w:hAnsi="Segoe UI" w:cs="Segoe UI"/>
          <w:sz w:val="28"/>
          <w:szCs w:val="28"/>
        </w:rPr>
        <w:t xml:space="preserve">22.Полупроводниковые </w:t>
      </w:r>
      <w:proofErr w:type="gramStart"/>
      <w:r>
        <w:rPr>
          <w:rStyle w:val="d965983d2b98b0benormaltextrun"/>
          <w:rFonts w:ascii="Segoe UI" w:hAnsi="Segoe UI" w:cs="Segoe UI"/>
          <w:sz w:val="28"/>
          <w:szCs w:val="28"/>
        </w:rPr>
        <w:t>усилители ,их</w:t>
      </w:r>
      <w:proofErr w:type="gramEnd"/>
      <w:r>
        <w:rPr>
          <w:rStyle w:val="d965983d2b98b0benormaltextrun"/>
          <w:rFonts w:ascii="Segoe UI" w:hAnsi="Segoe UI" w:cs="Segoe UI"/>
          <w:sz w:val="28"/>
          <w:szCs w:val="28"/>
        </w:rPr>
        <w:t xml:space="preserve"> основные характеристики.</w:t>
      </w:r>
      <w:r>
        <w:rPr>
          <w:rStyle w:val="986abcfc2c9a967eop"/>
          <w:rFonts w:ascii="Segoe UI" w:hAnsi="Segoe UI" w:cs="Segoe UI"/>
          <w:sz w:val="28"/>
          <w:szCs w:val="28"/>
        </w:rPr>
        <w:t> </w:t>
      </w:r>
    </w:p>
    <w:p w:rsidR="00D24641" w:rsidRDefault="00D24641">
      <w:bookmarkStart w:id="0" w:name="_GoBack"/>
      <w:bookmarkEnd w:id="0"/>
    </w:p>
    <w:sectPr w:rsidR="00D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80"/>
    <w:rsid w:val="000F0880"/>
    <w:rsid w:val="00D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F4AC-2501-4133-B7A4-83495DDA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14e29442bfd2e8bcx0">
    <w:name w:val="9314e29442bfd2e8bcx0"/>
    <w:basedOn w:val="a"/>
    <w:rsid w:val="000F08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965983d2b98b0benormaltextrun">
    <w:name w:val="d965983d2b98b0benormaltextrun"/>
    <w:basedOn w:val="a0"/>
    <w:rsid w:val="000F0880"/>
  </w:style>
  <w:style w:type="character" w:customStyle="1" w:styleId="986abcfc2c9a967eop">
    <w:name w:val="986abcfc2c9a967eop"/>
    <w:basedOn w:val="a0"/>
    <w:rsid w:val="000F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Савельева</dc:creator>
  <cp:keywords/>
  <dc:description/>
  <cp:lastModifiedBy>Анжела Савельева</cp:lastModifiedBy>
  <cp:revision>2</cp:revision>
  <dcterms:created xsi:type="dcterms:W3CDTF">2020-06-10T07:12:00Z</dcterms:created>
  <dcterms:modified xsi:type="dcterms:W3CDTF">2020-06-10T07:13:00Z</dcterms:modified>
</cp:coreProperties>
</file>